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49" w:rsidRDefault="00C10F67">
      <w:pPr>
        <w:jc w:val="center"/>
        <w:outlineLvl w:val="1"/>
        <w:rPr>
          <w:rFonts w:ascii="Arial" w:eastAsia="Times New Roman" w:hAnsi="Arial" w:cs="Arial"/>
          <w:b/>
          <w:bCs/>
        </w:rPr>
      </w:pPr>
      <w:r>
        <w:rPr>
          <w:rFonts w:ascii="Arial" w:eastAsia="Times New Roman" w:hAnsi="Arial" w:cs="Arial"/>
          <w:b/>
          <w:bCs/>
        </w:rPr>
        <w:t>ANSWERS TO SOME FREQUENTLY ASKED QUESTIONS</w:t>
      </w:r>
      <w:r>
        <w:rPr>
          <w:rFonts w:ascii="Arial" w:eastAsia="Times New Roman" w:hAnsi="Arial" w:cs="Arial"/>
          <w:b/>
          <w:bCs/>
          <w:noProof/>
          <w:lang w:val="en-AU" w:eastAsia="en-AU"/>
        </w:rPr>
        <w:drawing>
          <wp:anchor distT="0" distB="0" distL="114300" distR="114300" simplePos="0" relativeHeight="251658240" behindDoc="1" locked="0" layoutInCell="1" allowOverlap="1">
            <wp:simplePos x="0" y="0"/>
            <wp:positionH relativeFrom="column">
              <wp:posOffset>-485775</wp:posOffset>
            </wp:positionH>
            <wp:positionV relativeFrom="paragraph">
              <wp:posOffset>-478155</wp:posOffset>
            </wp:positionV>
            <wp:extent cx="7772400" cy="1890395"/>
            <wp:effectExtent l="0" t="0" r="0" b="0"/>
            <wp:wrapNone/>
            <wp:docPr id="1" name="Picture" descr="Band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and Mathematics"/>
                    <pic:cNvPicPr>
                      <a:picLocks noChangeAspect="1" noChangeArrowheads="1"/>
                    </pic:cNvPicPr>
                  </pic:nvPicPr>
                  <pic:blipFill>
                    <a:blip r:embed="rId6"/>
                    <a:stretch>
                      <a:fillRect/>
                    </a:stretch>
                  </pic:blipFill>
                  <pic:spPr bwMode="auto">
                    <a:xfrm>
                      <a:off x="0" y="0"/>
                      <a:ext cx="7772400" cy="1890395"/>
                    </a:xfrm>
                    <a:prstGeom prst="rect">
                      <a:avLst/>
                    </a:prstGeom>
                    <a:noFill/>
                    <a:ln w="9525">
                      <a:noFill/>
                      <a:miter lim="800000"/>
                      <a:headEnd/>
                      <a:tailEnd/>
                    </a:ln>
                  </pic:spPr>
                </pic:pic>
              </a:graphicData>
            </a:graphic>
          </wp:anchor>
        </w:drawing>
      </w:r>
    </w:p>
    <w:p w:rsidR="00277749" w:rsidRDefault="00C10F67">
      <w:pPr>
        <w:jc w:val="center"/>
        <w:rPr>
          <w:rFonts w:ascii="Arial" w:eastAsia="Times New Roman" w:hAnsi="Arial" w:cs="Arial"/>
          <w:b/>
          <w:bCs/>
        </w:rPr>
      </w:pPr>
      <w:r>
        <w:rPr>
          <w:rFonts w:ascii="Arial" w:eastAsia="Times New Roman" w:hAnsi="Arial" w:cs="Arial"/>
          <w:b/>
          <w:bCs/>
        </w:rPr>
        <w:t>ABOUT 1</w:t>
      </w:r>
      <w:r>
        <w:rPr>
          <w:rFonts w:ascii="Arial" w:eastAsia="Times New Roman" w:hAnsi="Arial" w:cs="Arial"/>
          <w:b/>
          <w:bCs/>
          <w:vertAlign w:val="superscript"/>
        </w:rPr>
        <w:t>ST</w:t>
      </w:r>
      <w:r>
        <w:rPr>
          <w:rFonts w:ascii="Arial" w:eastAsia="Times New Roman" w:hAnsi="Arial" w:cs="Arial"/>
          <w:b/>
          <w:bCs/>
        </w:rPr>
        <w:t xml:space="preserve"> YEAR COURSES</w:t>
      </w:r>
    </w:p>
    <w:p w:rsidR="00277749" w:rsidRDefault="00277749">
      <w:pPr>
        <w:jc w:val="center"/>
        <w:rPr>
          <w:rFonts w:ascii="Arial" w:eastAsia="Times New Roman" w:hAnsi="Arial" w:cs="Arial"/>
          <w:b/>
          <w:bCs/>
        </w:rPr>
      </w:pPr>
    </w:p>
    <w:p w:rsidR="00277749" w:rsidRDefault="00C10F67">
      <w:pPr>
        <w:jc w:val="center"/>
        <w:rPr>
          <w:rFonts w:ascii="Arial" w:eastAsia="Times New Roman" w:hAnsi="Arial" w:cs="Arial"/>
          <w:b/>
          <w:bCs/>
        </w:rPr>
      </w:pPr>
      <w:r>
        <w:rPr>
          <w:rFonts w:ascii="Arial" w:eastAsia="Times New Roman" w:hAnsi="Arial" w:cs="Arial"/>
          <w:b/>
          <w:bCs/>
        </w:rPr>
        <w:t>Semester 2</w:t>
      </w:r>
      <w:bookmarkStart w:id="0" w:name="_GoBack"/>
      <w:bookmarkEnd w:id="0"/>
      <w:r>
        <w:rPr>
          <w:rFonts w:ascii="Arial" w:eastAsia="Times New Roman" w:hAnsi="Arial" w:cs="Arial"/>
          <w:b/>
          <w:bCs/>
        </w:rPr>
        <w:t>, 2016</w:t>
      </w:r>
    </w:p>
    <w:p w:rsidR="00277749" w:rsidRDefault="00277749">
      <w:pPr>
        <w:jc w:val="center"/>
        <w:rPr>
          <w:rFonts w:ascii="Calibri" w:hAnsi="Calibri"/>
          <w:b/>
          <w:sz w:val="32"/>
          <w:szCs w:val="32"/>
        </w:rPr>
      </w:pPr>
    </w:p>
    <w:p w:rsidR="00277749" w:rsidRDefault="00277749">
      <w:pPr>
        <w:spacing w:beforeAutospacing="1"/>
        <w:jc w:val="center"/>
        <w:rPr>
          <w:rFonts w:ascii="Times New Roman" w:eastAsia="Times New Roman" w:hAnsi="Times New Roman"/>
        </w:rPr>
      </w:pPr>
    </w:p>
    <w:p w:rsidR="00277749" w:rsidRDefault="00277749">
      <w:pPr>
        <w:spacing w:beforeAutospacing="1"/>
        <w:jc w:val="center"/>
        <w:rPr>
          <w:rFonts w:ascii="Times New Roman" w:eastAsia="Times New Roman" w:hAnsi="Times New Roman"/>
        </w:rPr>
      </w:pPr>
    </w:p>
    <w:p w:rsidR="00277749" w:rsidRDefault="00277749">
      <w:pPr>
        <w:jc w:val="center"/>
        <w:outlineLvl w:val="1"/>
        <w:rPr>
          <w:rFonts w:ascii="Arial" w:eastAsia="Times New Roman" w:hAnsi="Arial" w:cs="Arial"/>
          <w:b/>
          <w:bCs/>
          <w:sz w:val="22"/>
          <w:szCs w:val="22"/>
        </w:rPr>
      </w:pPr>
    </w:p>
    <w:p w:rsidR="00277749" w:rsidRDefault="00C10F67">
      <w:pPr>
        <w:numPr>
          <w:ilvl w:val="0"/>
          <w:numId w:val="1"/>
        </w:numPr>
        <w:rPr>
          <w:rFonts w:ascii="Arial" w:eastAsia="Times New Roman" w:hAnsi="Arial" w:cs="Arial"/>
          <w:sz w:val="22"/>
          <w:szCs w:val="22"/>
        </w:rPr>
      </w:pPr>
      <w:r>
        <w:rPr>
          <w:rFonts w:ascii="Arial" w:eastAsia="Times New Roman" w:hAnsi="Arial" w:cs="Arial"/>
          <w:sz w:val="22"/>
          <w:szCs w:val="22"/>
        </w:rPr>
        <w:t>The School of Mathematics and Statistics is located in the eastern end of the RED CENTRE building.</w:t>
      </w:r>
    </w:p>
    <w:p w:rsidR="00277749" w:rsidRDefault="00277749">
      <w:pPr>
        <w:rPr>
          <w:rFonts w:ascii="Times New Roman" w:eastAsia="Times New Roman" w:hAnsi="Times New Roman"/>
        </w:rPr>
      </w:pPr>
    </w:p>
    <w:p w:rsidR="00277749" w:rsidRDefault="00ED5075">
      <w:pPr>
        <w:numPr>
          <w:ilvl w:val="0"/>
          <w:numId w:val="2"/>
        </w:numPr>
        <w:rPr>
          <w:rFonts w:ascii="Arial" w:eastAsia="Times New Roman" w:hAnsi="Arial" w:cs="Arial"/>
          <w:sz w:val="22"/>
          <w:szCs w:val="22"/>
        </w:rPr>
      </w:pPr>
      <w:r>
        <w:rPr>
          <w:rFonts w:ascii="Arial" w:eastAsia="Times New Roman" w:hAnsi="Arial" w:cs="Arial"/>
          <w:b/>
          <w:bCs/>
          <w:sz w:val="22"/>
          <w:szCs w:val="22"/>
        </w:rPr>
        <w:t>Commencement of Semester 2</w:t>
      </w:r>
      <w:r w:rsidR="00C10F67">
        <w:rPr>
          <w:rFonts w:ascii="Arial" w:eastAsia="Times New Roman" w:hAnsi="Arial" w:cs="Arial"/>
          <w:b/>
          <w:bCs/>
          <w:sz w:val="22"/>
          <w:szCs w:val="22"/>
        </w:rPr>
        <w:t xml:space="preserve"> (</w:t>
      </w:r>
      <w:r>
        <w:rPr>
          <w:rFonts w:ascii="Arial" w:eastAsia="Times New Roman" w:hAnsi="Arial" w:cs="Arial"/>
          <w:b/>
          <w:bCs/>
          <w:sz w:val="22"/>
          <w:szCs w:val="22"/>
        </w:rPr>
        <w:t>July, 25</w:t>
      </w:r>
      <w:r w:rsidRPr="00ED5075">
        <w:rPr>
          <w:rFonts w:ascii="Arial" w:eastAsia="Times New Roman" w:hAnsi="Arial" w:cs="Arial"/>
          <w:b/>
          <w:bCs/>
          <w:sz w:val="22"/>
          <w:szCs w:val="22"/>
          <w:vertAlign w:val="superscript"/>
        </w:rPr>
        <w:t>th</w:t>
      </w:r>
      <w:r>
        <w:rPr>
          <w:rFonts w:ascii="Arial" w:eastAsia="Times New Roman" w:hAnsi="Arial" w:cs="Arial"/>
          <w:b/>
          <w:bCs/>
          <w:sz w:val="22"/>
          <w:szCs w:val="22"/>
        </w:rPr>
        <w:t xml:space="preserve">).  </w:t>
      </w:r>
      <w:r w:rsidR="00C10F67">
        <w:rPr>
          <w:rFonts w:ascii="Arial" w:eastAsia="Times New Roman" w:hAnsi="Arial" w:cs="Arial"/>
          <w:sz w:val="22"/>
          <w:szCs w:val="22"/>
        </w:rPr>
        <w:t>Lectures begin in week</w:t>
      </w:r>
      <w:r w:rsidR="00C10F67">
        <w:rPr>
          <w:rFonts w:ascii="Arial" w:eastAsia="Times New Roman" w:hAnsi="Arial" w:cs="Arial"/>
          <w:sz w:val="22"/>
          <w:szCs w:val="22"/>
        </w:rPr>
        <w:t xml:space="preserve"> 1 – 12 and Tutorials run weeks 2 - 13.</w:t>
      </w:r>
    </w:p>
    <w:p w:rsidR="00277749" w:rsidRDefault="00277749">
      <w:pPr>
        <w:rPr>
          <w:rFonts w:ascii="Times New Roman" w:eastAsia="Times New Roman" w:hAnsi="Times New Roman"/>
        </w:rPr>
      </w:pPr>
    </w:p>
    <w:p w:rsidR="00277749" w:rsidRDefault="00C10F67">
      <w:pPr>
        <w:numPr>
          <w:ilvl w:val="0"/>
          <w:numId w:val="3"/>
        </w:numPr>
        <w:rPr>
          <w:rFonts w:ascii="Arial" w:eastAsia="Times New Roman" w:hAnsi="Arial" w:cs="Arial"/>
          <w:sz w:val="22"/>
          <w:szCs w:val="22"/>
        </w:rPr>
      </w:pPr>
      <w:r>
        <w:rPr>
          <w:rFonts w:ascii="Arial" w:eastAsia="Times New Roman" w:hAnsi="Arial" w:cs="Arial"/>
          <w:b/>
          <w:bCs/>
          <w:sz w:val="22"/>
          <w:szCs w:val="22"/>
        </w:rPr>
        <w:t xml:space="preserve">Introduction to Computing. </w:t>
      </w:r>
      <w:r>
        <w:rPr>
          <w:rFonts w:ascii="Arial" w:eastAsia="Times New Roman" w:hAnsi="Arial" w:cs="Arial"/>
          <w:sz w:val="22"/>
          <w:szCs w:val="22"/>
        </w:rPr>
        <w:t>There will be a video posted on Moodle which will explain to you how to get started with the computing component of the course.</w:t>
      </w:r>
    </w:p>
    <w:p w:rsidR="00277749" w:rsidRDefault="00277749">
      <w:pPr>
        <w:rPr>
          <w:rFonts w:ascii="Times New Roman" w:eastAsia="Times New Roman" w:hAnsi="Times New Roman"/>
        </w:rPr>
      </w:pPr>
    </w:p>
    <w:p w:rsidR="00277749" w:rsidRDefault="00ED5075">
      <w:pPr>
        <w:numPr>
          <w:ilvl w:val="0"/>
          <w:numId w:val="4"/>
        </w:numPr>
        <w:rPr>
          <w:rFonts w:ascii="Arial" w:eastAsia="Times New Roman" w:hAnsi="Arial" w:cs="Arial"/>
          <w:sz w:val="22"/>
          <w:szCs w:val="22"/>
        </w:rPr>
      </w:pPr>
      <w:r>
        <w:rPr>
          <w:rFonts w:ascii="Arial" w:eastAsia="Times New Roman" w:hAnsi="Arial" w:cs="Arial"/>
          <w:b/>
          <w:bCs/>
          <w:sz w:val="22"/>
          <w:szCs w:val="22"/>
        </w:rPr>
        <w:t>Tutorials (only for MATH1231/MATH12</w:t>
      </w:r>
      <w:r w:rsidR="00C10F67">
        <w:rPr>
          <w:rFonts w:ascii="Arial" w:eastAsia="Times New Roman" w:hAnsi="Arial" w:cs="Arial"/>
          <w:b/>
          <w:bCs/>
          <w:sz w:val="22"/>
          <w:szCs w:val="22"/>
        </w:rPr>
        <w:t>41).</w:t>
      </w:r>
      <w:r>
        <w:rPr>
          <w:rFonts w:ascii="Arial" w:eastAsia="Times New Roman" w:hAnsi="Arial" w:cs="Arial"/>
          <w:sz w:val="22"/>
          <w:szCs w:val="22"/>
        </w:rPr>
        <w:t xml:space="preserve"> For MATH12</w:t>
      </w:r>
      <w:r w:rsidR="00C10F67">
        <w:rPr>
          <w:rFonts w:ascii="Arial" w:eastAsia="Times New Roman" w:hAnsi="Arial" w:cs="Arial"/>
          <w:sz w:val="22"/>
          <w:szCs w:val="22"/>
        </w:rPr>
        <w:t>31 and M</w:t>
      </w:r>
      <w:r>
        <w:rPr>
          <w:rFonts w:ascii="Arial" w:eastAsia="Times New Roman" w:hAnsi="Arial" w:cs="Arial"/>
          <w:sz w:val="22"/>
          <w:szCs w:val="22"/>
        </w:rPr>
        <w:t>ATH12</w:t>
      </w:r>
      <w:r w:rsidR="00C10F67">
        <w:rPr>
          <w:rFonts w:ascii="Arial" w:eastAsia="Times New Roman" w:hAnsi="Arial" w:cs="Arial"/>
          <w:sz w:val="22"/>
          <w:szCs w:val="22"/>
        </w:rPr>
        <w:t xml:space="preserve">41 ONLY, the algebra and calculus class room tutorials will run every second week. </w:t>
      </w:r>
      <w:r>
        <w:rPr>
          <w:rFonts w:ascii="Arial" w:eastAsia="Times New Roman" w:hAnsi="Arial" w:cs="Arial"/>
          <w:sz w:val="22"/>
          <w:szCs w:val="22"/>
        </w:rPr>
        <w:t xml:space="preserve"> </w:t>
      </w:r>
      <w:r w:rsidR="00C10F67">
        <w:rPr>
          <w:rFonts w:ascii="Arial" w:eastAsia="Times New Roman" w:hAnsi="Arial" w:cs="Arial"/>
          <w:sz w:val="22"/>
          <w:szCs w:val="22"/>
        </w:rPr>
        <w:t>Please see course handout for details. In the remaining weeks there will be on-line tutorials.</w:t>
      </w:r>
    </w:p>
    <w:p w:rsidR="00277749" w:rsidRDefault="00277749">
      <w:pPr>
        <w:rPr>
          <w:rFonts w:ascii="Times New Roman" w:eastAsia="Times New Roman" w:hAnsi="Times New Roman"/>
        </w:rPr>
      </w:pPr>
    </w:p>
    <w:p w:rsidR="00277749" w:rsidRDefault="00C10F67">
      <w:pPr>
        <w:numPr>
          <w:ilvl w:val="0"/>
          <w:numId w:val="5"/>
        </w:numPr>
        <w:rPr>
          <w:rFonts w:ascii="Arial" w:eastAsia="Times New Roman" w:hAnsi="Arial" w:cs="Arial"/>
          <w:sz w:val="22"/>
          <w:szCs w:val="22"/>
        </w:rPr>
      </w:pPr>
      <w:r>
        <w:rPr>
          <w:rFonts w:ascii="Arial" w:eastAsia="Times New Roman" w:hAnsi="Arial" w:cs="Arial"/>
          <w:b/>
          <w:bCs/>
          <w:sz w:val="22"/>
          <w:szCs w:val="22"/>
        </w:rPr>
        <w:t>The location of tutorials</w:t>
      </w:r>
      <w:r>
        <w:rPr>
          <w:rFonts w:ascii="Arial" w:eastAsia="Times New Roman" w:hAnsi="Arial" w:cs="Arial"/>
          <w:sz w:val="22"/>
          <w:szCs w:val="22"/>
        </w:rPr>
        <w:t xml:space="preserve"> is available to you via your timetable on myUN</w:t>
      </w:r>
      <w:r>
        <w:rPr>
          <w:rFonts w:ascii="Arial" w:eastAsia="Times New Roman" w:hAnsi="Arial" w:cs="Arial"/>
          <w:sz w:val="22"/>
          <w:szCs w:val="22"/>
        </w:rPr>
        <w:t>SW. To create tutorials of roughly even sizes, some tutorial classes may need to be closed, or opened, during week 1. If you are affected by any tutorial room changes you will be notified by email to your official UNSW email account,</w:t>
      </w:r>
    </w:p>
    <w:p w:rsidR="00277749" w:rsidRDefault="00277749">
      <w:pPr>
        <w:ind w:left="363"/>
        <w:jc w:val="center"/>
        <w:rPr>
          <w:rFonts w:ascii="Arial" w:eastAsia="Times New Roman" w:hAnsi="Arial" w:cs="Arial"/>
          <w:sz w:val="22"/>
          <w:szCs w:val="22"/>
        </w:rPr>
      </w:pPr>
    </w:p>
    <w:p w:rsidR="00277749" w:rsidRDefault="00C10F67">
      <w:pPr>
        <w:ind w:left="363"/>
        <w:jc w:val="center"/>
        <w:rPr>
          <w:rFonts w:ascii="Arial" w:eastAsia="Times New Roman" w:hAnsi="Arial" w:cs="Arial"/>
          <w:b/>
          <w:sz w:val="22"/>
          <w:szCs w:val="22"/>
        </w:rPr>
      </w:pPr>
      <w:r>
        <w:rPr>
          <w:rFonts w:ascii="Arial" w:eastAsia="Times New Roman" w:hAnsi="Arial" w:cs="Arial"/>
          <w:b/>
          <w:sz w:val="22"/>
          <w:szCs w:val="22"/>
        </w:rPr>
        <w:t>zSTUDENTNO@student.un</w:t>
      </w:r>
      <w:r>
        <w:rPr>
          <w:rFonts w:ascii="Arial" w:eastAsia="Times New Roman" w:hAnsi="Arial" w:cs="Arial"/>
          <w:b/>
          <w:sz w:val="22"/>
          <w:szCs w:val="22"/>
        </w:rPr>
        <w:t>sw.edu.au</w:t>
      </w:r>
    </w:p>
    <w:p w:rsidR="00277749" w:rsidRDefault="00277749">
      <w:pPr>
        <w:ind w:left="363"/>
        <w:jc w:val="center"/>
        <w:rPr>
          <w:rFonts w:ascii="Times New Roman" w:eastAsia="Times New Roman" w:hAnsi="Times New Roman"/>
        </w:rPr>
      </w:pPr>
    </w:p>
    <w:p w:rsidR="00277749" w:rsidRDefault="00C10F67">
      <w:pPr>
        <w:ind w:left="720"/>
        <w:rPr>
          <w:rFonts w:ascii="Arial" w:eastAsia="Times New Roman" w:hAnsi="Arial" w:cs="Arial"/>
          <w:sz w:val="22"/>
          <w:szCs w:val="22"/>
        </w:rPr>
      </w:pPr>
      <w:r>
        <w:rPr>
          <w:rFonts w:ascii="Arial" w:eastAsia="Times New Roman" w:hAnsi="Arial" w:cs="Arial"/>
          <w:sz w:val="22"/>
          <w:szCs w:val="22"/>
        </w:rPr>
        <w:t xml:space="preserve">During week 1 it is good practice to check your timetable regularly on myUNSW.  </w:t>
      </w:r>
      <w:r w:rsidRPr="00ED5075">
        <w:rPr>
          <w:rFonts w:ascii="Arial" w:eastAsia="Times New Roman" w:hAnsi="Arial" w:cs="Arial"/>
          <w:b/>
          <w:i/>
          <w:sz w:val="22"/>
          <w:szCs w:val="22"/>
        </w:rPr>
        <w:t>Please check your timetable for tutorial changes such as room location prior to your 1</w:t>
      </w:r>
      <w:r w:rsidRPr="00ED5075">
        <w:rPr>
          <w:rFonts w:ascii="Arial" w:eastAsia="Times New Roman" w:hAnsi="Arial" w:cs="Arial"/>
          <w:b/>
          <w:i/>
          <w:sz w:val="22"/>
          <w:szCs w:val="22"/>
          <w:vertAlign w:val="superscript"/>
        </w:rPr>
        <w:t>st</w:t>
      </w:r>
      <w:r w:rsidRPr="00ED5075">
        <w:rPr>
          <w:rFonts w:ascii="Arial" w:eastAsia="Times New Roman" w:hAnsi="Arial" w:cs="Arial"/>
          <w:b/>
          <w:i/>
          <w:sz w:val="22"/>
          <w:szCs w:val="22"/>
        </w:rPr>
        <w:t xml:space="preserve"> tutorial in week 2.</w:t>
      </w:r>
    </w:p>
    <w:p w:rsidR="00277749" w:rsidRDefault="00277749">
      <w:pPr>
        <w:ind w:left="363"/>
        <w:rPr>
          <w:rFonts w:ascii="Times New Roman" w:eastAsia="Times New Roman" w:hAnsi="Times New Roman"/>
        </w:rPr>
      </w:pPr>
    </w:p>
    <w:p w:rsidR="00277749" w:rsidRDefault="00C10F67">
      <w:pPr>
        <w:numPr>
          <w:ilvl w:val="0"/>
          <w:numId w:val="6"/>
        </w:numPr>
        <w:rPr>
          <w:rFonts w:ascii="Arial" w:eastAsia="Times New Roman" w:hAnsi="Arial" w:cs="Arial"/>
          <w:sz w:val="22"/>
          <w:szCs w:val="22"/>
        </w:rPr>
      </w:pPr>
      <w:r>
        <w:rPr>
          <w:rFonts w:ascii="Arial" w:eastAsia="Times New Roman" w:hAnsi="Arial" w:cs="Arial"/>
          <w:b/>
          <w:bCs/>
          <w:sz w:val="22"/>
          <w:szCs w:val="22"/>
        </w:rPr>
        <w:t>Textbooks</w:t>
      </w:r>
      <w:r>
        <w:rPr>
          <w:rFonts w:ascii="Arial" w:eastAsia="Times New Roman" w:hAnsi="Arial" w:cs="Arial"/>
          <w:sz w:val="22"/>
          <w:szCs w:val="22"/>
        </w:rPr>
        <w:t xml:space="preserve"> are listed on the back of this sheet. They are available from the UNSW Bookshop, which is located in the western part of the Quadrangle Building. Purchase of textbooks is not compulsory, but is highly recommended. They provide an extra interpretation of m</w:t>
      </w:r>
      <w:r>
        <w:rPr>
          <w:rFonts w:ascii="Arial" w:eastAsia="Times New Roman" w:hAnsi="Arial" w:cs="Arial"/>
          <w:sz w:val="22"/>
          <w:szCs w:val="22"/>
        </w:rPr>
        <w:t>aterial presented in lectures and give an additional breadth of coverage.</w:t>
      </w:r>
    </w:p>
    <w:p w:rsidR="00277749" w:rsidRDefault="00277749">
      <w:pPr>
        <w:rPr>
          <w:rFonts w:ascii="Times New Roman" w:eastAsia="Times New Roman" w:hAnsi="Times New Roman"/>
        </w:rPr>
      </w:pPr>
    </w:p>
    <w:p w:rsidR="00277749" w:rsidRDefault="00C10F67">
      <w:pPr>
        <w:numPr>
          <w:ilvl w:val="0"/>
          <w:numId w:val="7"/>
        </w:numPr>
        <w:rPr>
          <w:rFonts w:ascii="Arial" w:eastAsia="Times New Roman" w:hAnsi="Arial" w:cs="Arial"/>
          <w:sz w:val="22"/>
          <w:szCs w:val="22"/>
        </w:rPr>
      </w:pPr>
      <w:r>
        <w:rPr>
          <w:rFonts w:ascii="Arial" w:eastAsia="Times New Roman" w:hAnsi="Arial" w:cs="Arial"/>
          <w:b/>
          <w:bCs/>
          <w:sz w:val="22"/>
          <w:szCs w:val="22"/>
        </w:rPr>
        <w:t>Course Packs,</w:t>
      </w:r>
      <w:r>
        <w:rPr>
          <w:rFonts w:ascii="Arial" w:eastAsia="Times New Roman" w:hAnsi="Arial" w:cs="Arial"/>
          <w:sz w:val="22"/>
          <w:szCs w:val="22"/>
        </w:rPr>
        <w:t xml:space="preserve"> which are very strongly recommended for all students, will be on sale at the UNSW Bookshop.</w:t>
      </w:r>
    </w:p>
    <w:p w:rsidR="00277749" w:rsidRDefault="00277749">
      <w:pPr>
        <w:rPr>
          <w:rFonts w:ascii="Times New Roman" w:eastAsia="Times New Roman" w:hAnsi="Times New Roman"/>
        </w:rPr>
      </w:pPr>
    </w:p>
    <w:p w:rsidR="00277749" w:rsidRDefault="00C10F67">
      <w:pPr>
        <w:numPr>
          <w:ilvl w:val="0"/>
          <w:numId w:val="8"/>
        </w:numPr>
        <w:rPr>
          <w:rFonts w:ascii="Arial" w:eastAsia="Times New Roman" w:hAnsi="Arial" w:cs="Arial"/>
          <w:sz w:val="22"/>
          <w:szCs w:val="22"/>
        </w:rPr>
      </w:pPr>
      <w:r>
        <w:rPr>
          <w:rFonts w:ascii="Arial" w:eastAsia="Times New Roman" w:hAnsi="Arial" w:cs="Arial"/>
          <w:b/>
          <w:bCs/>
          <w:sz w:val="22"/>
          <w:szCs w:val="22"/>
        </w:rPr>
        <w:t>The Student Services Office</w:t>
      </w:r>
      <w:r>
        <w:rPr>
          <w:rFonts w:ascii="Arial" w:eastAsia="Times New Roman" w:hAnsi="Arial" w:cs="Arial"/>
          <w:sz w:val="22"/>
          <w:szCs w:val="22"/>
        </w:rPr>
        <w:t xml:space="preserve"> for the School of Mathematics and Statistics i</w:t>
      </w:r>
      <w:r w:rsidR="00ED5075">
        <w:rPr>
          <w:rFonts w:ascii="Arial" w:eastAsia="Times New Roman" w:hAnsi="Arial" w:cs="Arial"/>
          <w:sz w:val="22"/>
          <w:szCs w:val="22"/>
        </w:rPr>
        <w:t>s in room 3072 &amp; 3088</w:t>
      </w:r>
      <w:r>
        <w:rPr>
          <w:rFonts w:ascii="Arial" w:eastAsia="Times New Roman" w:hAnsi="Arial" w:cs="Arial"/>
          <w:sz w:val="22"/>
          <w:szCs w:val="22"/>
        </w:rPr>
        <w:t xml:space="preserve"> on level 3 of the Red Centre.</w:t>
      </w:r>
    </w:p>
    <w:p w:rsidR="00277749" w:rsidRDefault="00277749">
      <w:pPr>
        <w:rPr>
          <w:rFonts w:ascii="Times New Roman" w:eastAsia="Times New Roman" w:hAnsi="Times New Roman"/>
        </w:rPr>
      </w:pPr>
    </w:p>
    <w:p w:rsidR="00277749" w:rsidRDefault="00C10F67">
      <w:pPr>
        <w:numPr>
          <w:ilvl w:val="0"/>
          <w:numId w:val="9"/>
        </w:numPr>
        <w:rPr>
          <w:rFonts w:ascii="Arial" w:eastAsia="Times New Roman" w:hAnsi="Arial" w:cs="Arial"/>
          <w:sz w:val="22"/>
          <w:szCs w:val="22"/>
        </w:rPr>
      </w:pPr>
      <w:r>
        <w:rPr>
          <w:rFonts w:ascii="Arial" w:eastAsia="Times New Roman" w:hAnsi="Arial" w:cs="Arial"/>
          <w:b/>
          <w:bCs/>
          <w:sz w:val="22"/>
          <w:szCs w:val="22"/>
        </w:rPr>
        <w:t>For further information</w:t>
      </w:r>
      <w:r>
        <w:rPr>
          <w:rFonts w:ascii="Arial" w:eastAsia="Times New Roman" w:hAnsi="Arial" w:cs="Arial"/>
          <w:sz w:val="22"/>
          <w:szCs w:val="22"/>
        </w:rPr>
        <w:t xml:space="preserve"> read carefully the Information Booklet contained in your Course Pack. You will find most of the answers to many of your questions about the </w:t>
      </w:r>
      <w:r w:rsidR="00ED5075">
        <w:rPr>
          <w:rFonts w:ascii="Arial" w:eastAsia="Times New Roman" w:hAnsi="Arial" w:cs="Arial"/>
          <w:sz w:val="22"/>
          <w:szCs w:val="22"/>
        </w:rPr>
        <w:t>course;</w:t>
      </w:r>
      <w:r>
        <w:rPr>
          <w:rFonts w:ascii="Arial" w:eastAsia="Times New Roman" w:hAnsi="Arial" w:cs="Arial"/>
          <w:sz w:val="22"/>
          <w:szCs w:val="22"/>
        </w:rPr>
        <w:t xml:space="preserve"> tests and assessment can be fou</w:t>
      </w:r>
      <w:r>
        <w:rPr>
          <w:rFonts w:ascii="Arial" w:eastAsia="Times New Roman" w:hAnsi="Arial" w:cs="Arial"/>
          <w:sz w:val="22"/>
          <w:szCs w:val="22"/>
        </w:rPr>
        <w:t>nd there. The Information Booklets are also accessible through UNSW Moodle on the University’s learning management system.</w:t>
      </w:r>
    </w:p>
    <w:p w:rsidR="00277749" w:rsidRDefault="00277749">
      <w:pPr>
        <w:rPr>
          <w:rFonts w:ascii="Times New Roman" w:eastAsia="Times New Roman" w:hAnsi="Times New Roman"/>
        </w:rPr>
      </w:pPr>
    </w:p>
    <w:p w:rsidR="00277749" w:rsidRDefault="00277749">
      <w:pPr>
        <w:jc w:val="right"/>
        <w:rPr>
          <w:rFonts w:ascii="Times New Roman" w:eastAsia="Times New Roman" w:hAnsi="Times New Roman"/>
        </w:rPr>
      </w:pPr>
    </w:p>
    <w:p w:rsidR="00277749" w:rsidRDefault="00277749">
      <w:pPr>
        <w:jc w:val="right"/>
        <w:rPr>
          <w:rFonts w:ascii="Times New Roman" w:eastAsia="Times New Roman" w:hAnsi="Times New Roman"/>
        </w:rPr>
      </w:pPr>
    </w:p>
    <w:p w:rsidR="00277749" w:rsidRDefault="00ED5075">
      <w:pPr>
        <w:jc w:val="right"/>
        <w:rPr>
          <w:rFonts w:ascii="Arial" w:eastAsia="Times New Roman" w:hAnsi="Arial" w:cs="Arial"/>
          <w:sz w:val="22"/>
          <w:szCs w:val="22"/>
        </w:rPr>
      </w:pPr>
      <w:r>
        <w:rPr>
          <w:rFonts w:ascii="Arial" w:eastAsia="Times New Roman" w:hAnsi="Arial" w:cs="Arial"/>
          <w:sz w:val="22"/>
          <w:szCs w:val="22"/>
        </w:rPr>
        <w:t>Jonathan Kress</w:t>
      </w:r>
    </w:p>
    <w:p w:rsidR="00277749" w:rsidRDefault="00C10F67">
      <w:pPr>
        <w:jc w:val="right"/>
        <w:rPr>
          <w:rFonts w:ascii="Arial" w:eastAsia="Times New Roman" w:hAnsi="Arial" w:cs="Arial"/>
          <w:sz w:val="22"/>
          <w:szCs w:val="22"/>
        </w:rPr>
      </w:pPr>
      <w:r>
        <w:rPr>
          <w:rFonts w:ascii="Arial" w:eastAsia="Times New Roman" w:hAnsi="Arial" w:cs="Arial"/>
          <w:sz w:val="22"/>
          <w:szCs w:val="22"/>
        </w:rPr>
        <w:t>Director of First Year Studies</w:t>
      </w:r>
    </w:p>
    <w:p w:rsidR="00277749" w:rsidRDefault="00C10F67">
      <w:pPr>
        <w:jc w:val="right"/>
        <w:rPr>
          <w:rFonts w:ascii="Arial" w:eastAsia="Times New Roman" w:hAnsi="Arial" w:cs="Arial"/>
          <w:sz w:val="22"/>
          <w:szCs w:val="22"/>
        </w:rPr>
      </w:pPr>
      <w:r>
        <w:rPr>
          <w:rFonts w:ascii="Arial" w:eastAsia="Times New Roman" w:hAnsi="Arial" w:cs="Arial"/>
          <w:sz w:val="22"/>
          <w:szCs w:val="22"/>
        </w:rPr>
        <w:t>School of Mathematics and Statistics</w:t>
      </w:r>
    </w:p>
    <w:p w:rsidR="00277749" w:rsidRDefault="00277749">
      <w:pPr>
        <w:jc w:val="center"/>
        <w:rPr>
          <w:rFonts w:ascii="Times New Roman" w:eastAsia="Times New Roman" w:hAnsi="Times New Roman"/>
        </w:rPr>
      </w:pPr>
    </w:p>
    <w:p w:rsidR="00277749" w:rsidRDefault="00277749">
      <w:pPr>
        <w:spacing w:beforeAutospacing="1" w:after="240"/>
        <w:jc w:val="center"/>
        <w:rPr>
          <w:rFonts w:ascii="Times New Roman" w:eastAsia="Times New Roman" w:hAnsi="Times New Roman"/>
        </w:rPr>
      </w:pPr>
    </w:p>
    <w:p w:rsidR="00277749" w:rsidRDefault="00C10F67">
      <w:pPr>
        <w:jc w:val="center"/>
        <w:outlineLvl w:val="0"/>
        <w:rPr>
          <w:rFonts w:ascii="Arial" w:eastAsia="Times New Roman" w:hAnsi="Arial" w:cs="Arial"/>
          <w:b/>
          <w:bCs/>
        </w:rPr>
      </w:pPr>
      <w:r>
        <w:rPr>
          <w:rFonts w:ascii="Arial" w:eastAsia="Times New Roman" w:hAnsi="Arial" w:cs="Arial"/>
          <w:b/>
          <w:bCs/>
        </w:rPr>
        <w:t>First Year Mathematics Texts &amp; Course Notes</w:t>
      </w:r>
    </w:p>
    <w:p w:rsidR="00277749" w:rsidRDefault="00C10F67">
      <w:pPr>
        <w:jc w:val="center"/>
        <w:outlineLvl w:val="1"/>
        <w:rPr>
          <w:rFonts w:ascii="Arial" w:eastAsia="Times New Roman" w:hAnsi="Arial" w:cs="Arial"/>
          <w:b/>
          <w:bCs/>
        </w:rPr>
      </w:pPr>
      <w:r>
        <w:rPr>
          <w:rFonts w:ascii="Arial" w:eastAsia="Times New Roman" w:hAnsi="Arial" w:cs="Arial"/>
          <w:b/>
          <w:bCs/>
        </w:rPr>
        <w:t>Semester 2, 2016</w:t>
      </w:r>
    </w:p>
    <w:p w:rsidR="00277749" w:rsidRDefault="00C10F67">
      <w:pPr>
        <w:spacing w:beforeAutospacing="1" w:after="62"/>
        <w:outlineLvl w:val="2"/>
        <w:rPr>
          <w:rFonts w:ascii="Arial" w:eastAsia="Times New Roman" w:hAnsi="Arial" w:cs="Arial"/>
          <w:b/>
          <w:bCs/>
          <w:sz w:val="22"/>
          <w:szCs w:val="22"/>
        </w:rPr>
      </w:pPr>
      <w:r>
        <w:rPr>
          <w:rFonts w:ascii="Arial" w:eastAsia="Times New Roman" w:hAnsi="Arial" w:cs="Arial"/>
          <w:b/>
          <w:bCs/>
          <w:sz w:val="22"/>
          <w:szCs w:val="22"/>
        </w:rPr>
        <w:t>MATH1011 Fundamentals of Mathematics B</w:t>
      </w:r>
    </w:p>
    <w:p w:rsidR="00277749" w:rsidRDefault="00C10F67">
      <w:pPr>
        <w:numPr>
          <w:ilvl w:val="0"/>
          <w:numId w:val="10"/>
        </w:numPr>
        <w:spacing w:beforeAutospacing="1" w:line="238" w:lineRule="atLeast"/>
        <w:rPr>
          <w:rFonts w:ascii="Arial" w:eastAsia="Times New Roman" w:hAnsi="Arial" w:cs="Arial"/>
        </w:rPr>
      </w:pPr>
      <w:r>
        <w:rPr>
          <w:rFonts w:ascii="Arial" w:eastAsia="Times New Roman" w:hAnsi="Arial" w:cs="Arial"/>
        </w:rPr>
        <w:t xml:space="preserve">Arya &amp; Lardner – </w:t>
      </w:r>
      <w:r>
        <w:rPr>
          <w:rFonts w:ascii="Arial" w:eastAsia="Times New Roman" w:hAnsi="Arial" w:cs="Arial"/>
          <w:i/>
          <w:iCs/>
        </w:rPr>
        <w:t>Mathematics for the Biological Sciences</w:t>
      </w:r>
      <w:r>
        <w:rPr>
          <w:rFonts w:ascii="Arial" w:eastAsia="Times New Roman" w:hAnsi="Arial" w:cs="Arial"/>
        </w:rPr>
        <w:t>, Prentice Hall</w:t>
      </w:r>
    </w:p>
    <w:p w:rsidR="00277749" w:rsidRDefault="00C10F67">
      <w:pPr>
        <w:numPr>
          <w:ilvl w:val="0"/>
          <w:numId w:val="10"/>
        </w:numPr>
        <w:spacing w:beforeAutospacing="1" w:line="238" w:lineRule="atLeast"/>
        <w:rPr>
          <w:rFonts w:ascii="Arial" w:eastAsia="Times New Roman" w:hAnsi="Arial" w:cs="Arial"/>
        </w:rPr>
      </w:pPr>
      <w:r>
        <w:rPr>
          <w:rFonts w:ascii="Arial" w:eastAsia="Times New Roman" w:hAnsi="Arial" w:cs="Arial"/>
        </w:rPr>
        <w:t xml:space="preserve">Fitzpatrick J. B. – </w:t>
      </w:r>
      <w:r>
        <w:rPr>
          <w:rFonts w:ascii="Arial" w:eastAsia="Times New Roman" w:hAnsi="Arial" w:cs="Arial"/>
          <w:i/>
          <w:iCs/>
        </w:rPr>
        <w:t>New Senior Mathematics – Three Unit Course for Years 11 &amp; 12</w:t>
      </w:r>
      <w:r>
        <w:rPr>
          <w:rFonts w:ascii="Arial" w:eastAsia="Times New Roman" w:hAnsi="Arial" w:cs="Arial"/>
        </w:rPr>
        <w:t>, Heinemann</w:t>
      </w:r>
    </w:p>
    <w:p w:rsidR="00277749" w:rsidRDefault="00C10F67">
      <w:pPr>
        <w:numPr>
          <w:ilvl w:val="0"/>
          <w:numId w:val="10"/>
        </w:numPr>
        <w:spacing w:beforeAutospacing="1" w:line="238" w:lineRule="atLeast"/>
        <w:rPr>
          <w:rFonts w:ascii="Arial" w:eastAsia="Times New Roman" w:hAnsi="Arial" w:cs="Arial"/>
        </w:rPr>
      </w:pPr>
      <w:r>
        <w:rPr>
          <w:rFonts w:ascii="Arial" w:eastAsia="Times New Roman" w:hAnsi="Arial" w:cs="Arial"/>
        </w:rPr>
        <w:t xml:space="preserve">MATH1011 Fundamentals of Mathematics B </w:t>
      </w:r>
      <w:r w:rsidR="00ED5075">
        <w:rPr>
          <w:rFonts w:ascii="Arial" w:eastAsia="Times New Roman" w:hAnsi="Arial" w:cs="Arial"/>
        </w:rPr>
        <w:t>Course Pack 2016</w:t>
      </w:r>
    </w:p>
    <w:p w:rsidR="00277749" w:rsidRDefault="00277749">
      <w:pPr>
        <w:spacing w:before="62"/>
        <w:outlineLvl w:val="2"/>
        <w:rPr>
          <w:rFonts w:ascii="Arial" w:eastAsia="Times New Roman" w:hAnsi="Arial" w:cs="Arial"/>
          <w:b/>
          <w:bCs/>
          <w:sz w:val="22"/>
          <w:szCs w:val="22"/>
        </w:rPr>
      </w:pPr>
    </w:p>
    <w:p w:rsidR="00277749" w:rsidRDefault="00C10F67">
      <w:pPr>
        <w:spacing w:before="62"/>
        <w:outlineLvl w:val="2"/>
        <w:rPr>
          <w:rFonts w:ascii="Arial" w:eastAsia="Times New Roman" w:hAnsi="Arial" w:cs="Arial"/>
          <w:b/>
          <w:bCs/>
          <w:sz w:val="22"/>
          <w:szCs w:val="22"/>
        </w:rPr>
      </w:pPr>
      <w:r>
        <w:rPr>
          <w:rFonts w:ascii="Arial" w:eastAsia="Times New Roman" w:hAnsi="Arial" w:cs="Arial"/>
          <w:b/>
          <w:bCs/>
          <w:sz w:val="22"/>
          <w:szCs w:val="22"/>
        </w:rPr>
        <w:t>MATH1041 Statistics for Life and Social Sciences</w:t>
      </w:r>
    </w:p>
    <w:p w:rsidR="00A75933" w:rsidRPr="00A75933" w:rsidRDefault="00C10F67" w:rsidP="00A75933">
      <w:pPr>
        <w:numPr>
          <w:ilvl w:val="0"/>
          <w:numId w:val="12"/>
        </w:numPr>
        <w:spacing w:beforeAutospacing="1" w:after="23" w:line="238" w:lineRule="atLeast"/>
        <w:rPr>
          <w:rFonts w:ascii="Arial" w:eastAsia="Times New Roman" w:hAnsi="Arial" w:cs="Arial"/>
          <w:i/>
          <w:iCs/>
        </w:rPr>
      </w:pPr>
      <w:r w:rsidRPr="00A75933">
        <w:rPr>
          <w:rFonts w:ascii="Arial" w:eastAsia="Times New Roman" w:hAnsi="Arial" w:cs="Arial"/>
        </w:rPr>
        <w:t>MATH1041 Statistics fo</w:t>
      </w:r>
      <w:r w:rsidR="00A75933">
        <w:rPr>
          <w:rFonts w:ascii="Arial" w:eastAsia="Times New Roman" w:hAnsi="Arial" w:cs="Arial"/>
        </w:rPr>
        <w:t>r Life Sciences Course Pack 2016</w:t>
      </w:r>
    </w:p>
    <w:p w:rsidR="00277749" w:rsidRPr="00A75933" w:rsidRDefault="00C10F67" w:rsidP="00A75933">
      <w:pPr>
        <w:numPr>
          <w:ilvl w:val="0"/>
          <w:numId w:val="12"/>
        </w:numPr>
        <w:spacing w:beforeAutospacing="1" w:after="23" w:line="238" w:lineRule="atLeast"/>
        <w:rPr>
          <w:rFonts w:ascii="Arial" w:eastAsia="Times New Roman" w:hAnsi="Arial" w:cs="Arial"/>
          <w:i/>
          <w:iCs/>
        </w:rPr>
      </w:pPr>
      <w:r w:rsidRPr="00A75933">
        <w:rPr>
          <w:rFonts w:ascii="Arial" w:eastAsia="Times New Roman" w:hAnsi="Arial" w:cs="Arial"/>
          <w:i/>
          <w:iCs/>
        </w:rPr>
        <w:t xml:space="preserve">Introduction to the Practice of </w:t>
      </w:r>
      <w:r w:rsidRPr="00A75933">
        <w:rPr>
          <w:rFonts w:ascii="Arial" w:eastAsia="Times New Roman" w:hAnsi="Arial" w:cs="Arial"/>
          <w:i/>
          <w:iCs/>
        </w:rPr>
        <w:t>Statistics</w:t>
      </w:r>
      <w:r w:rsidRPr="00A75933">
        <w:rPr>
          <w:rFonts w:ascii="Arial" w:eastAsia="Times New Roman" w:hAnsi="Arial" w:cs="Arial"/>
        </w:rPr>
        <w:t xml:space="preserve">, </w:t>
      </w:r>
      <w:r w:rsidRPr="00A75933">
        <w:rPr>
          <w:rFonts w:ascii="Arial" w:eastAsia="Times New Roman" w:hAnsi="Arial" w:cs="Arial"/>
          <w:i/>
          <w:iCs/>
        </w:rPr>
        <w:t>by David S. Moore, George P. McCabe, and Bruce A. Craig, 6</w:t>
      </w:r>
      <w:r w:rsidRPr="00A75933">
        <w:rPr>
          <w:rFonts w:ascii="Arial" w:eastAsia="Times New Roman" w:hAnsi="Arial" w:cs="Arial"/>
          <w:i/>
          <w:iCs/>
          <w:vertAlign w:val="superscript"/>
        </w:rPr>
        <w:t>th</w:t>
      </w:r>
      <w:r w:rsidRPr="00A75933">
        <w:rPr>
          <w:rFonts w:ascii="Arial" w:eastAsia="Times New Roman" w:hAnsi="Arial" w:cs="Arial"/>
          <w:i/>
          <w:iCs/>
        </w:rPr>
        <w:t xml:space="preserve"> Edition, W.H. Freeman and Co., New York.</w:t>
      </w:r>
    </w:p>
    <w:p w:rsidR="00277749" w:rsidRDefault="00277749">
      <w:pPr>
        <w:spacing w:before="62"/>
        <w:outlineLvl w:val="2"/>
        <w:rPr>
          <w:rFonts w:ascii="Arial" w:eastAsia="Times New Roman" w:hAnsi="Arial" w:cs="Arial"/>
          <w:b/>
          <w:bCs/>
          <w:sz w:val="22"/>
          <w:szCs w:val="22"/>
        </w:rPr>
      </w:pPr>
    </w:p>
    <w:p w:rsidR="00277749" w:rsidRDefault="00C10F67">
      <w:pPr>
        <w:spacing w:before="62"/>
        <w:outlineLvl w:val="2"/>
        <w:rPr>
          <w:rFonts w:ascii="Arial" w:eastAsia="Times New Roman" w:hAnsi="Arial" w:cs="Arial"/>
          <w:b/>
          <w:bCs/>
          <w:sz w:val="22"/>
          <w:szCs w:val="22"/>
        </w:rPr>
      </w:pPr>
      <w:r>
        <w:rPr>
          <w:rFonts w:ascii="Arial" w:eastAsia="Times New Roman" w:hAnsi="Arial" w:cs="Arial"/>
          <w:b/>
          <w:bCs/>
          <w:sz w:val="22"/>
          <w:szCs w:val="22"/>
        </w:rPr>
        <w:t>MATH1081 Discrete Mathematics</w:t>
      </w:r>
    </w:p>
    <w:p w:rsidR="00A75933" w:rsidRPr="00A75933" w:rsidRDefault="00A75933" w:rsidP="00A75933">
      <w:pPr>
        <w:pStyle w:val="ListParagraph"/>
        <w:numPr>
          <w:ilvl w:val="0"/>
          <w:numId w:val="13"/>
        </w:numPr>
        <w:rPr>
          <w:rFonts w:ascii="Arial" w:eastAsia="Times New Roman" w:hAnsi="Arial" w:cs="Arial"/>
        </w:rPr>
      </w:pPr>
      <w:r w:rsidRPr="00A75933">
        <w:rPr>
          <w:rFonts w:ascii="Arial" w:eastAsia="Times New Roman" w:hAnsi="Arial" w:cs="Arial"/>
        </w:rPr>
        <w:t xml:space="preserve">S.S. </w:t>
      </w:r>
      <w:proofErr w:type="spellStart"/>
      <w:r w:rsidRPr="00A75933">
        <w:rPr>
          <w:rFonts w:ascii="Arial" w:eastAsia="Times New Roman" w:hAnsi="Arial" w:cs="Arial"/>
        </w:rPr>
        <w:t>Epp</w:t>
      </w:r>
      <w:proofErr w:type="spellEnd"/>
      <w:r w:rsidRPr="00A75933">
        <w:rPr>
          <w:rFonts w:ascii="Arial" w:eastAsia="Times New Roman" w:hAnsi="Arial" w:cs="Arial"/>
        </w:rPr>
        <w:t>, “</w:t>
      </w:r>
      <w:r w:rsidRPr="00A75933">
        <w:rPr>
          <w:rFonts w:ascii="Arial" w:eastAsia="Times New Roman" w:hAnsi="Arial" w:cs="Arial"/>
          <w:i/>
        </w:rPr>
        <w:t>Discrete Mathematics with Applications”,</w:t>
      </w:r>
      <w:r w:rsidRPr="00A75933">
        <w:rPr>
          <w:rFonts w:ascii="Arial" w:eastAsia="Times New Roman" w:hAnsi="Arial" w:cs="Arial"/>
        </w:rPr>
        <w:t xml:space="preserve"> Fourth Edition, 2011 OR Second (or Third) Edition, PWS 1995. </w:t>
      </w:r>
    </w:p>
    <w:p w:rsidR="00A75933" w:rsidRPr="00A75933" w:rsidRDefault="00A75933" w:rsidP="00A75933">
      <w:pPr>
        <w:pStyle w:val="ListParagraph"/>
        <w:numPr>
          <w:ilvl w:val="0"/>
          <w:numId w:val="13"/>
        </w:numPr>
        <w:rPr>
          <w:rFonts w:ascii="Arial" w:eastAsia="Times New Roman" w:hAnsi="Arial" w:cs="Arial"/>
        </w:rPr>
      </w:pPr>
      <w:r w:rsidRPr="00A75933">
        <w:rPr>
          <w:rFonts w:ascii="Arial" w:eastAsia="Times New Roman" w:hAnsi="Arial" w:cs="Arial"/>
        </w:rPr>
        <w:t xml:space="preserve">J Franklin and A. </w:t>
      </w:r>
      <w:proofErr w:type="spellStart"/>
      <w:r w:rsidRPr="00A75933">
        <w:rPr>
          <w:rFonts w:ascii="Arial" w:eastAsia="Times New Roman" w:hAnsi="Arial" w:cs="Arial"/>
        </w:rPr>
        <w:t>Daoud</w:t>
      </w:r>
      <w:proofErr w:type="spellEnd"/>
      <w:r w:rsidRPr="00A75933">
        <w:rPr>
          <w:rFonts w:ascii="Arial" w:eastAsia="Times New Roman" w:hAnsi="Arial" w:cs="Arial"/>
        </w:rPr>
        <w:t xml:space="preserve">, </w:t>
      </w:r>
      <w:r w:rsidRPr="00A75933">
        <w:rPr>
          <w:rFonts w:ascii="Arial" w:eastAsia="Times New Roman" w:hAnsi="Arial" w:cs="Arial"/>
          <w:i/>
        </w:rPr>
        <w:t>“Introduction to Proofs in Mathematics”</w:t>
      </w:r>
      <w:r w:rsidRPr="00A75933">
        <w:rPr>
          <w:rFonts w:ascii="Arial" w:eastAsia="Times New Roman" w:hAnsi="Arial" w:cs="Arial"/>
        </w:rPr>
        <w:t>, Prentice Hall, 1988 or “Proof in Mathematics: An Introduction”, Quakers Hill Press, 1995.</w:t>
      </w:r>
    </w:p>
    <w:p w:rsidR="00277749" w:rsidRDefault="00C10F67">
      <w:pPr>
        <w:numPr>
          <w:ilvl w:val="0"/>
          <w:numId w:val="13"/>
        </w:numPr>
        <w:spacing w:beforeAutospacing="1" w:line="238" w:lineRule="atLeast"/>
        <w:rPr>
          <w:rFonts w:ascii="Arial" w:eastAsia="Times New Roman" w:hAnsi="Arial" w:cs="Arial"/>
        </w:rPr>
      </w:pPr>
      <w:r>
        <w:rPr>
          <w:rFonts w:ascii="Arial" w:eastAsia="Times New Roman" w:hAnsi="Arial" w:cs="Arial"/>
        </w:rPr>
        <w:t>MATH1081 Discrete Mathematics Cour</w:t>
      </w:r>
      <w:r w:rsidR="00A75933">
        <w:rPr>
          <w:rFonts w:ascii="Arial" w:eastAsia="Times New Roman" w:hAnsi="Arial" w:cs="Arial"/>
        </w:rPr>
        <w:t>se Pack 2016</w:t>
      </w:r>
    </w:p>
    <w:p w:rsidR="00277749" w:rsidRDefault="00A75933">
      <w:pPr>
        <w:spacing w:beforeAutospacing="1" w:after="62"/>
        <w:outlineLvl w:val="2"/>
        <w:rPr>
          <w:rFonts w:ascii="Arial" w:eastAsia="Times New Roman" w:hAnsi="Arial" w:cs="Arial"/>
          <w:b/>
          <w:bCs/>
          <w:sz w:val="22"/>
          <w:szCs w:val="22"/>
        </w:rPr>
      </w:pPr>
      <w:r>
        <w:rPr>
          <w:rFonts w:ascii="Arial" w:eastAsia="Times New Roman" w:hAnsi="Arial" w:cs="Arial"/>
          <w:b/>
          <w:bCs/>
          <w:sz w:val="22"/>
          <w:szCs w:val="22"/>
        </w:rPr>
        <w:t>MATH1121/MATH12</w:t>
      </w:r>
      <w:r w:rsidR="00C10F67">
        <w:rPr>
          <w:rFonts w:ascii="Arial" w:eastAsia="Times New Roman" w:hAnsi="Arial" w:cs="Arial"/>
          <w:b/>
          <w:bCs/>
          <w:sz w:val="22"/>
          <w:szCs w:val="22"/>
        </w:rPr>
        <w:t>41 Mathematics 1A &amp; Higher Mathematics 1A</w:t>
      </w:r>
    </w:p>
    <w:p w:rsidR="00A75933" w:rsidRDefault="00A75933" w:rsidP="00A75933">
      <w:pPr>
        <w:numPr>
          <w:ilvl w:val="0"/>
          <w:numId w:val="14"/>
        </w:numPr>
        <w:spacing w:beforeAutospacing="1" w:line="238" w:lineRule="atLeast"/>
        <w:rPr>
          <w:rFonts w:ascii="Arial" w:eastAsia="Times New Roman" w:hAnsi="Arial" w:cs="Arial"/>
        </w:rPr>
      </w:pPr>
      <w:r>
        <w:rPr>
          <w:rFonts w:ascii="Arial" w:eastAsia="Times New Roman" w:hAnsi="Arial" w:cs="Arial"/>
        </w:rPr>
        <w:t>MATH1231/MATH12</w:t>
      </w:r>
      <w:r w:rsidR="00C10F67">
        <w:rPr>
          <w:rFonts w:ascii="Arial" w:eastAsia="Times New Roman" w:hAnsi="Arial" w:cs="Arial"/>
        </w:rPr>
        <w:t>41 Mathematics 1A &amp; Higher</w:t>
      </w:r>
      <w:r>
        <w:rPr>
          <w:rFonts w:ascii="Arial" w:eastAsia="Times New Roman" w:hAnsi="Arial" w:cs="Arial"/>
        </w:rPr>
        <w:t xml:space="preserve"> Mathematics 1A Course Pack 2016</w:t>
      </w:r>
      <w:r w:rsidRPr="00A75933">
        <w:rPr>
          <w:rFonts w:ascii="Arial" w:eastAsia="Times New Roman" w:hAnsi="Arial" w:cs="Arial"/>
        </w:rPr>
        <w:t xml:space="preserve"> </w:t>
      </w:r>
    </w:p>
    <w:p w:rsidR="00277749" w:rsidRDefault="00A75933" w:rsidP="00A75933">
      <w:pPr>
        <w:numPr>
          <w:ilvl w:val="0"/>
          <w:numId w:val="14"/>
        </w:numPr>
        <w:spacing w:beforeAutospacing="1" w:line="238" w:lineRule="atLeast"/>
        <w:rPr>
          <w:rFonts w:ascii="Arial" w:eastAsia="Times New Roman" w:hAnsi="Arial" w:cs="Arial"/>
        </w:rPr>
      </w:pPr>
      <w:r>
        <w:rPr>
          <w:rFonts w:ascii="Arial" w:eastAsia="Times New Roman" w:hAnsi="Arial" w:cs="Arial"/>
        </w:rPr>
        <w:t xml:space="preserve">S.L. Salas, E. </w:t>
      </w:r>
      <w:proofErr w:type="spellStart"/>
      <w:r>
        <w:rPr>
          <w:rFonts w:ascii="Arial" w:eastAsia="Times New Roman" w:hAnsi="Arial" w:cs="Arial"/>
        </w:rPr>
        <w:t>Hille</w:t>
      </w:r>
      <w:proofErr w:type="spellEnd"/>
      <w:r>
        <w:rPr>
          <w:rFonts w:ascii="Arial" w:eastAsia="Times New Roman" w:hAnsi="Arial" w:cs="Arial"/>
        </w:rPr>
        <w:t xml:space="preserve"> </w:t>
      </w:r>
      <w:r>
        <w:rPr>
          <w:rFonts w:ascii="Arial" w:eastAsia="Times New Roman" w:hAnsi="Arial" w:cs="Arial"/>
        </w:rPr>
        <w:t xml:space="preserve">and G.J. </w:t>
      </w:r>
      <w:proofErr w:type="spellStart"/>
      <w:r>
        <w:rPr>
          <w:rFonts w:ascii="Arial" w:eastAsia="Times New Roman" w:hAnsi="Arial" w:cs="Arial"/>
        </w:rPr>
        <w:t>Etgen</w:t>
      </w:r>
      <w:proofErr w:type="spellEnd"/>
      <w:r>
        <w:rPr>
          <w:rFonts w:ascii="Arial" w:eastAsia="Times New Roman" w:hAnsi="Arial" w:cs="Arial"/>
        </w:rPr>
        <w:t xml:space="preserve"> </w:t>
      </w:r>
      <w:r>
        <w:rPr>
          <w:rFonts w:ascii="Arial" w:eastAsia="Times New Roman" w:hAnsi="Arial" w:cs="Arial"/>
        </w:rPr>
        <w:t xml:space="preserve">– </w:t>
      </w:r>
      <w:r>
        <w:rPr>
          <w:rFonts w:ascii="Arial" w:eastAsia="Times New Roman" w:hAnsi="Arial" w:cs="Arial"/>
          <w:i/>
          <w:iCs/>
        </w:rPr>
        <w:t>Calculus</w:t>
      </w:r>
      <w:r>
        <w:rPr>
          <w:rFonts w:ascii="Arial" w:eastAsia="Times New Roman" w:hAnsi="Arial" w:cs="Arial"/>
        </w:rPr>
        <w:t xml:space="preserve"> </w:t>
      </w:r>
      <w:r>
        <w:rPr>
          <w:rFonts w:ascii="Arial" w:eastAsia="Times New Roman" w:hAnsi="Arial" w:cs="Arial"/>
        </w:rPr>
        <w:t xml:space="preserve">– </w:t>
      </w:r>
      <w:r w:rsidRPr="00A75933">
        <w:rPr>
          <w:rFonts w:ascii="Arial" w:eastAsia="Times New Roman" w:hAnsi="Arial" w:cs="Arial"/>
          <w:i/>
        </w:rPr>
        <w:t>One and Several Variables</w:t>
      </w:r>
      <w:r>
        <w:rPr>
          <w:rFonts w:ascii="Arial" w:eastAsia="Times New Roman" w:hAnsi="Arial" w:cs="Arial"/>
        </w:rPr>
        <w:t xml:space="preserve"> </w:t>
      </w:r>
      <w:r>
        <w:rPr>
          <w:rFonts w:ascii="Arial" w:eastAsia="Times New Roman" w:hAnsi="Arial" w:cs="Arial"/>
        </w:rPr>
        <w:t>(</w:t>
      </w:r>
      <w:r>
        <w:rPr>
          <w:rFonts w:ascii="Arial" w:eastAsia="Times New Roman" w:hAnsi="Arial" w:cs="Arial"/>
        </w:rPr>
        <w:t xml:space="preserve">any recent edition), </w:t>
      </w:r>
      <w:r>
        <w:rPr>
          <w:rFonts w:ascii="Arial" w:eastAsia="Times New Roman" w:hAnsi="Arial" w:cs="Arial"/>
        </w:rPr>
        <w:t>Wiley</w:t>
      </w:r>
      <w:r w:rsidR="00C10F67">
        <w:rPr>
          <w:rFonts w:ascii="Arial" w:eastAsia="Times New Roman" w:hAnsi="Arial" w:cs="Arial"/>
        </w:rPr>
        <w:t xml:space="preserve">    </w:t>
      </w:r>
    </w:p>
    <w:p w:rsidR="00C10F67" w:rsidRPr="00A75933" w:rsidRDefault="00C10F67" w:rsidP="00C10F67">
      <w:pPr>
        <w:spacing w:beforeAutospacing="1" w:line="238" w:lineRule="atLeast"/>
        <w:ind w:left="720"/>
        <w:rPr>
          <w:rFonts w:ascii="Arial" w:eastAsia="Times New Roman" w:hAnsi="Arial" w:cs="Arial"/>
        </w:rPr>
      </w:pPr>
      <w:r>
        <w:rPr>
          <w:rFonts w:ascii="Arial" w:eastAsia="Times New Roman" w:hAnsi="Arial" w:cs="Arial"/>
        </w:rPr>
        <w:t>NB: The 10</w:t>
      </w:r>
      <w:r w:rsidRPr="00C10F67">
        <w:rPr>
          <w:rFonts w:ascii="Arial" w:eastAsia="Times New Roman" w:hAnsi="Arial" w:cs="Arial"/>
          <w:vertAlign w:val="superscript"/>
        </w:rPr>
        <w:t>th</w:t>
      </w:r>
      <w:r>
        <w:rPr>
          <w:rFonts w:ascii="Arial" w:eastAsia="Times New Roman" w:hAnsi="Arial" w:cs="Arial"/>
        </w:rPr>
        <w:t xml:space="preserve"> edition comes with access to the electronic resources known as </w:t>
      </w:r>
      <w:proofErr w:type="spellStart"/>
      <w:r>
        <w:rPr>
          <w:rFonts w:ascii="Arial" w:eastAsia="Times New Roman" w:hAnsi="Arial" w:cs="Arial"/>
        </w:rPr>
        <w:t>WileyPlus</w:t>
      </w:r>
      <w:proofErr w:type="spellEnd"/>
      <w:r>
        <w:rPr>
          <w:rFonts w:ascii="Arial" w:eastAsia="Times New Roman" w:hAnsi="Arial" w:cs="Arial"/>
        </w:rPr>
        <w:t xml:space="preserve">. </w:t>
      </w:r>
    </w:p>
    <w:p w:rsidR="00277749" w:rsidRDefault="00C10F67">
      <w:pPr>
        <w:spacing w:beforeAutospacing="1" w:after="23" w:line="238" w:lineRule="atLeast"/>
        <w:rPr>
          <w:rFonts w:ascii="Arial" w:eastAsia="Times New Roman" w:hAnsi="Arial" w:cs="Arial"/>
          <w:b/>
          <w:bCs/>
        </w:rPr>
      </w:pPr>
      <w:r>
        <w:rPr>
          <w:rFonts w:ascii="Arial" w:eastAsia="Times New Roman" w:hAnsi="Arial" w:cs="Arial"/>
          <w:b/>
          <w:bCs/>
        </w:rPr>
        <w:t>MATH12</w:t>
      </w:r>
      <w:r>
        <w:rPr>
          <w:rFonts w:ascii="Arial" w:eastAsia="Times New Roman" w:hAnsi="Arial" w:cs="Arial"/>
          <w:b/>
          <w:bCs/>
        </w:rPr>
        <w:t>51 Mathematics for Actuarial Studies and Finance 1A</w:t>
      </w:r>
    </w:p>
    <w:p w:rsidR="00C10F67" w:rsidRPr="00C10F67" w:rsidRDefault="00C10F67" w:rsidP="00C10F67">
      <w:pPr>
        <w:numPr>
          <w:ilvl w:val="0"/>
          <w:numId w:val="15"/>
        </w:numPr>
        <w:spacing w:beforeAutospacing="1" w:line="238" w:lineRule="atLeast"/>
        <w:rPr>
          <w:rFonts w:ascii="Arial" w:eastAsia="Times New Roman" w:hAnsi="Arial" w:cs="Arial"/>
        </w:rPr>
      </w:pPr>
      <w:r>
        <w:rPr>
          <w:rFonts w:ascii="Arial" w:eastAsia="Times New Roman" w:hAnsi="Arial" w:cs="Arial"/>
        </w:rPr>
        <w:t xml:space="preserve">S.L. Salas, E. </w:t>
      </w:r>
      <w:proofErr w:type="spellStart"/>
      <w:r>
        <w:rPr>
          <w:rFonts w:ascii="Arial" w:eastAsia="Times New Roman" w:hAnsi="Arial" w:cs="Arial"/>
        </w:rPr>
        <w:t>Hille</w:t>
      </w:r>
      <w:proofErr w:type="spellEnd"/>
      <w:r>
        <w:rPr>
          <w:rFonts w:ascii="Arial" w:eastAsia="Times New Roman" w:hAnsi="Arial" w:cs="Arial"/>
        </w:rPr>
        <w:t xml:space="preserve"> and G.J. </w:t>
      </w:r>
      <w:proofErr w:type="spellStart"/>
      <w:r>
        <w:rPr>
          <w:rFonts w:ascii="Arial" w:eastAsia="Times New Roman" w:hAnsi="Arial" w:cs="Arial"/>
        </w:rPr>
        <w:t>Etgen</w:t>
      </w:r>
      <w:proofErr w:type="spellEnd"/>
      <w:r>
        <w:rPr>
          <w:rFonts w:ascii="Arial" w:eastAsia="Times New Roman" w:hAnsi="Arial" w:cs="Arial"/>
        </w:rPr>
        <w:t xml:space="preserve"> – </w:t>
      </w:r>
      <w:r>
        <w:rPr>
          <w:rFonts w:ascii="Arial" w:eastAsia="Times New Roman" w:hAnsi="Arial" w:cs="Arial"/>
          <w:i/>
          <w:iCs/>
        </w:rPr>
        <w:t>Calculus</w:t>
      </w:r>
      <w:r>
        <w:rPr>
          <w:rFonts w:ascii="Arial" w:eastAsia="Times New Roman" w:hAnsi="Arial" w:cs="Arial"/>
        </w:rPr>
        <w:t xml:space="preserve"> – </w:t>
      </w:r>
      <w:r w:rsidRPr="00A75933">
        <w:rPr>
          <w:rFonts w:ascii="Arial" w:eastAsia="Times New Roman" w:hAnsi="Arial" w:cs="Arial"/>
          <w:i/>
        </w:rPr>
        <w:t>One and Several Variables</w:t>
      </w:r>
      <w:r>
        <w:rPr>
          <w:rFonts w:ascii="Arial" w:eastAsia="Times New Roman" w:hAnsi="Arial" w:cs="Arial"/>
        </w:rPr>
        <w:t xml:space="preserve"> (any recent </w:t>
      </w:r>
      <w:r>
        <w:rPr>
          <w:rFonts w:ascii="Arial" w:eastAsia="Times New Roman" w:hAnsi="Arial" w:cs="Arial"/>
        </w:rPr>
        <w:t>e</w:t>
      </w:r>
      <w:r>
        <w:rPr>
          <w:rFonts w:ascii="Arial" w:eastAsia="Times New Roman" w:hAnsi="Arial" w:cs="Arial"/>
        </w:rPr>
        <w:t xml:space="preserve">dition), Wiley    </w:t>
      </w:r>
    </w:p>
    <w:p w:rsidR="00277749" w:rsidRDefault="00C10F67">
      <w:pPr>
        <w:numPr>
          <w:ilvl w:val="0"/>
          <w:numId w:val="15"/>
        </w:numPr>
        <w:spacing w:beforeAutospacing="1" w:after="23" w:line="238" w:lineRule="atLeast"/>
        <w:rPr>
          <w:rFonts w:ascii="Arial" w:eastAsia="Times New Roman" w:hAnsi="Arial" w:cs="Arial"/>
        </w:rPr>
      </w:pPr>
      <w:r>
        <w:rPr>
          <w:rFonts w:ascii="Arial" w:eastAsia="Times New Roman" w:hAnsi="Arial" w:cs="Arial"/>
        </w:rPr>
        <w:t>MATH12</w:t>
      </w:r>
      <w:r>
        <w:rPr>
          <w:rFonts w:ascii="Arial" w:eastAsia="Times New Roman" w:hAnsi="Arial" w:cs="Arial"/>
        </w:rPr>
        <w:t>51 Mathematics for Actuarial Studies and Finance 1A Course Pack 2016</w:t>
      </w:r>
    </w:p>
    <w:p w:rsidR="00277749" w:rsidRDefault="00C10F67" w:rsidP="00C10F67">
      <w:pPr>
        <w:spacing w:beforeAutospacing="1" w:after="240" w:line="238" w:lineRule="atLeast"/>
        <w:ind w:firstLine="360"/>
        <w:rPr>
          <w:rFonts w:ascii="Times New Roman" w:eastAsia="Times New Roman" w:hAnsi="Times New Roman"/>
        </w:rPr>
      </w:pPr>
      <w:r>
        <w:rPr>
          <w:rFonts w:ascii="Arial" w:eastAsia="Times New Roman" w:hAnsi="Arial" w:cs="Arial"/>
        </w:rPr>
        <w:t>NB: The 10</w:t>
      </w:r>
      <w:r w:rsidRPr="00C10F67">
        <w:rPr>
          <w:rFonts w:ascii="Arial" w:eastAsia="Times New Roman" w:hAnsi="Arial" w:cs="Arial"/>
          <w:vertAlign w:val="superscript"/>
        </w:rPr>
        <w:t>th</w:t>
      </w:r>
      <w:r>
        <w:rPr>
          <w:rFonts w:ascii="Arial" w:eastAsia="Times New Roman" w:hAnsi="Arial" w:cs="Arial"/>
        </w:rPr>
        <w:t xml:space="preserve"> edition comes with access to the electronic resources known as </w:t>
      </w:r>
      <w:proofErr w:type="spellStart"/>
      <w:r>
        <w:rPr>
          <w:rFonts w:ascii="Arial" w:eastAsia="Times New Roman" w:hAnsi="Arial" w:cs="Arial"/>
        </w:rPr>
        <w:t>WileyPlus</w:t>
      </w:r>
      <w:proofErr w:type="spellEnd"/>
    </w:p>
    <w:p w:rsidR="00277749" w:rsidRDefault="00277749">
      <w:pPr>
        <w:spacing w:beforeAutospacing="1"/>
        <w:jc w:val="right"/>
        <w:rPr>
          <w:rFonts w:ascii="Times New Roman" w:eastAsia="Times New Roman" w:hAnsi="Times New Roman"/>
        </w:rPr>
      </w:pPr>
    </w:p>
    <w:p w:rsidR="00277749" w:rsidRDefault="00277749">
      <w:pPr>
        <w:spacing w:beforeAutospacing="1"/>
        <w:rPr>
          <w:rFonts w:ascii="Times New Roman" w:eastAsia="Times New Roman" w:hAnsi="Times New Roman"/>
        </w:rPr>
      </w:pPr>
    </w:p>
    <w:p w:rsidR="00277749" w:rsidRDefault="00277749"/>
    <w:sectPr w:rsidR="00277749">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panose1 w:val="020B0604020202020204"/>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E9D"/>
    <w:multiLevelType w:val="multilevel"/>
    <w:tmpl w:val="A3B866F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99015DD"/>
    <w:multiLevelType w:val="multilevel"/>
    <w:tmpl w:val="EBBAE6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2D23789"/>
    <w:multiLevelType w:val="multilevel"/>
    <w:tmpl w:val="8BBA0A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5A5570E"/>
    <w:multiLevelType w:val="multilevel"/>
    <w:tmpl w:val="D430E8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9154981"/>
    <w:multiLevelType w:val="multilevel"/>
    <w:tmpl w:val="344477B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421D1AB0"/>
    <w:multiLevelType w:val="multilevel"/>
    <w:tmpl w:val="F23EDB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42840D9B"/>
    <w:multiLevelType w:val="multilevel"/>
    <w:tmpl w:val="4A26F0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454A72A0"/>
    <w:multiLevelType w:val="multilevel"/>
    <w:tmpl w:val="5198A8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4FE143E8"/>
    <w:multiLevelType w:val="multilevel"/>
    <w:tmpl w:val="C19627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514E6CB9"/>
    <w:multiLevelType w:val="multilevel"/>
    <w:tmpl w:val="7144D67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5A163ACB"/>
    <w:multiLevelType w:val="multilevel"/>
    <w:tmpl w:val="57D888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72171B2E"/>
    <w:multiLevelType w:val="multilevel"/>
    <w:tmpl w:val="C860B2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781458F6"/>
    <w:multiLevelType w:val="multilevel"/>
    <w:tmpl w:val="60A4F3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79660D7F"/>
    <w:multiLevelType w:val="multilevel"/>
    <w:tmpl w:val="F884A59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7DDA56DF"/>
    <w:multiLevelType w:val="multilevel"/>
    <w:tmpl w:val="C116DF2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7F4D7E17"/>
    <w:multiLevelType w:val="multilevel"/>
    <w:tmpl w:val="035662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5"/>
  </w:num>
  <w:num w:numId="3">
    <w:abstractNumId w:val="11"/>
  </w:num>
  <w:num w:numId="4">
    <w:abstractNumId w:val="9"/>
  </w:num>
  <w:num w:numId="5">
    <w:abstractNumId w:val="12"/>
  </w:num>
  <w:num w:numId="6">
    <w:abstractNumId w:val="1"/>
  </w:num>
  <w:num w:numId="7">
    <w:abstractNumId w:val="14"/>
  </w:num>
  <w:num w:numId="8">
    <w:abstractNumId w:val="13"/>
  </w:num>
  <w:num w:numId="9">
    <w:abstractNumId w:val="15"/>
  </w:num>
  <w:num w:numId="10">
    <w:abstractNumId w:val="3"/>
  </w:num>
  <w:num w:numId="11">
    <w:abstractNumId w:val="7"/>
  </w:num>
  <w:num w:numId="12">
    <w:abstractNumId w:val="2"/>
  </w:num>
  <w:num w:numId="13">
    <w:abstractNumId w:val="4"/>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49"/>
    <w:rsid w:val="00277749"/>
    <w:rsid w:val="00A75933"/>
    <w:rsid w:val="00C10F67"/>
    <w:rsid w:val="00ED5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34"/>
    <w:pPr>
      <w:suppressAutoHyphens/>
      <w:spacing w:line="240" w:lineRule="auto"/>
    </w:pPr>
    <w:rPr>
      <w:rFonts w:ascii="Cambria" w:eastAsia="MS Mincho" w:hAnsi="Cambria" w:cs="Times New Roman"/>
      <w:sz w:val="24"/>
      <w:szCs w:val="24"/>
    </w:rPr>
  </w:style>
  <w:style w:type="paragraph" w:styleId="Heading1">
    <w:name w:val="heading 1"/>
    <w:basedOn w:val="Normal"/>
    <w:link w:val="Heading1Char"/>
    <w:uiPriority w:val="9"/>
    <w:qFormat/>
    <w:rsid w:val="00094EE7"/>
    <w:pPr>
      <w:outlineLvl w:val="0"/>
    </w:pPr>
    <w:rPr>
      <w:rFonts w:ascii="Times New Roman" w:eastAsia="Times New Roman" w:hAnsi="Times New Roman"/>
      <w:b/>
      <w:bCs/>
      <w:sz w:val="48"/>
      <w:szCs w:val="48"/>
    </w:rPr>
  </w:style>
  <w:style w:type="paragraph" w:styleId="Heading2">
    <w:name w:val="heading 2"/>
    <w:basedOn w:val="Normal"/>
    <w:link w:val="Heading2Char"/>
    <w:uiPriority w:val="9"/>
    <w:qFormat/>
    <w:rsid w:val="00094EE7"/>
    <w:pPr>
      <w:jc w:val="center"/>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94EE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EE7"/>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uiPriority w:val="9"/>
    <w:rsid w:val="00094E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4EE7"/>
    <w:rPr>
      <w:rFonts w:ascii="Times New Roman" w:eastAsia="Times New Roman" w:hAnsi="Times New Roman" w:cs="Times New Roman"/>
      <w:b/>
      <w:bCs/>
      <w:sz w:val="27"/>
      <w:szCs w:val="27"/>
    </w:rPr>
  </w:style>
  <w:style w:type="character" w:customStyle="1" w:styleId="InternetLink">
    <w:name w:val="Internet Link"/>
    <w:basedOn w:val="DefaultParagraphFont"/>
    <w:uiPriority w:val="99"/>
    <w:unhideWhenUsed/>
    <w:rsid w:val="00283020"/>
    <w:rPr>
      <w:color w:val="0000FF"/>
      <w:u w:val="single"/>
    </w:rPr>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uiPriority w:val="99"/>
    <w:semiHidden/>
    <w:unhideWhenUsed/>
    <w:rsid w:val="00094EE7"/>
    <w:pPr>
      <w:spacing w:after="119"/>
    </w:pPr>
    <w:rPr>
      <w:rFonts w:ascii="Times New Roman" w:eastAsia="Times New Roman" w:hAnsi="Times New Roman"/>
    </w:rPr>
  </w:style>
  <w:style w:type="paragraph" w:customStyle="1" w:styleId="western">
    <w:name w:val="western"/>
    <w:basedOn w:val="Normal"/>
    <w:rsid w:val="00094EE7"/>
    <w:pPr>
      <w:spacing w:after="119"/>
    </w:pPr>
    <w:rPr>
      <w:rFonts w:ascii="Times New Roman" w:eastAsia="Times New Roman" w:hAnsi="Times New Roman"/>
    </w:rPr>
  </w:style>
  <w:style w:type="paragraph" w:styleId="ListParagraph">
    <w:name w:val="List Paragraph"/>
    <w:basedOn w:val="Normal"/>
    <w:uiPriority w:val="34"/>
    <w:qFormat/>
    <w:rsid w:val="00A759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34"/>
    <w:pPr>
      <w:suppressAutoHyphens/>
      <w:spacing w:line="240" w:lineRule="auto"/>
    </w:pPr>
    <w:rPr>
      <w:rFonts w:ascii="Cambria" w:eastAsia="MS Mincho" w:hAnsi="Cambria" w:cs="Times New Roman"/>
      <w:sz w:val="24"/>
      <w:szCs w:val="24"/>
    </w:rPr>
  </w:style>
  <w:style w:type="paragraph" w:styleId="Heading1">
    <w:name w:val="heading 1"/>
    <w:basedOn w:val="Normal"/>
    <w:link w:val="Heading1Char"/>
    <w:uiPriority w:val="9"/>
    <w:qFormat/>
    <w:rsid w:val="00094EE7"/>
    <w:pPr>
      <w:outlineLvl w:val="0"/>
    </w:pPr>
    <w:rPr>
      <w:rFonts w:ascii="Times New Roman" w:eastAsia="Times New Roman" w:hAnsi="Times New Roman"/>
      <w:b/>
      <w:bCs/>
      <w:sz w:val="48"/>
      <w:szCs w:val="48"/>
    </w:rPr>
  </w:style>
  <w:style w:type="paragraph" w:styleId="Heading2">
    <w:name w:val="heading 2"/>
    <w:basedOn w:val="Normal"/>
    <w:link w:val="Heading2Char"/>
    <w:uiPriority w:val="9"/>
    <w:qFormat/>
    <w:rsid w:val="00094EE7"/>
    <w:pPr>
      <w:jc w:val="center"/>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94EE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EE7"/>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uiPriority w:val="9"/>
    <w:rsid w:val="00094E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4EE7"/>
    <w:rPr>
      <w:rFonts w:ascii="Times New Roman" w:eastAsia="Times New Roman" w:hAnsi="Times New Roman" w:cs="Times New Roman"/>
      <w:b/>
      <w:bCs/>
      <w:sz w:val="27"/>
      <w:szCs w:val="27"/>
    </w:rPr>
  </w:style>
  <w:style w:type="character" w:customStyle="1" w:styleId="InternetLink">
    <w:name w:val="Internet Link"/>
    <w:basedOn w:val="DefaultParagraphFont"/>
    <w:uiPriority w:val="99"/>
    <w:unhideWhenUsed/>
    <w:rsid w:val="00283020"/>
    <w:rPr>
      <w:color w:val="0000FF"/>
      <w:u w:val="single"/>
    </w:rPr>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uiPriority w:val="99"/>
    <w:semiHidden/>
    <w:unhideWhenUsed/>
    <w:rsid w:val="00094EE7"/>
    <w:pPr>
      <w:spacing w:after="119"/>
    </w:pPr>
    <w:rPr>
      <w:rFonts w:ascii="Times New Roman" w:eastAsia="Times New Roman" w:hAnsi="Times New Roman"/>
    </w:rPr>
  </w:style>
  <w:style w:type="paragraph" w:customStyle="1" w:styleId="western">
    <w:name w:val="western"/>
    <w:basedOn w:val="Normal"/>
    <w:rsid w:val="00094EE7"/>
    <w:pPr>
      <w:spacing w:after="119"/>
    </w:pPr>
    <w:rPr>
      <w:rFonts w:ascii="Times New Roman" w:eastAsia="Times New Roman" w:hAnsi="Times New Roman"/>
    </w:rPr>
  </w:style>
  <w:style w:type="paragraph" w:styleId="ListParagraph">
    <w:name w:val="List Paragraph"/>
    <w:basedOn w:val="Normal"/>
    <w:uiPriority w:val="34"/>
    <w:qFormat/>
    <w:rsid w:val="00A75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UNSW Faculty of Science</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New South Wales</dc:creator>
  <cp:lastModifiedBy>The University of New South Wales</cp:lastModifiedBy>
  <cp:revision>3</cp:revision>
  <dcterms:created xsi:type="dcterms:W3CDTF">2016-07-18T04:43:00Z</dcterms:created>
  <dcterms:modified xsi:type="dcterms:W3CDTF">2016-07-18T04:56:00Z</dcterms:modified>
  <dc:language>en-AU</dc:language>
</cp:coreProperties>
</file>